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Lily Victoria Purslow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7621</wp:posOffset>
                </wp:positionV>
                <wp:extent cx="3448050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6738" y="307769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Social Media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Website: www.lilypurslowart.co.uk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Facebook @Lily Purslow 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Instagram: @lilypurslowart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Etsy: LilyPurslowArt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LinkedIn: Lily Victoria Purslow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7621</wp:posOffset>
                </wp:positionV>
                <wp:extent cx="3448050" cy="141414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 Richmond Grove, Stourbridge, West Midlands, DY8 4SF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07981286650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l.purslow@outlook.com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Artist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art practice combines both fine art and textiles. I specialise in hand embroidery, watercolour, and pattern design. Important themes within my work include colour, texture and pattern. I am inspired by personal experiences and my surroundings; important details are documented in sketchbooks through notes and illustrations before textile and pattern are composed.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graduated from Birmingham School of Art with a first-class BA (Hons) degree in Fine Art in 2020, and was awarded a Distinction in MA Textile and Surface Design at Birmingham Institute of Jewellery, Fashion and Textiles in 2021. My knowledge in textiles was furthered by my Erasmus + Exchange at Escola Massana Centro de Arte y Diseño in Barcelona, Spain in 2019. I started my small business, Lily Purslow Art, following the completion of my BA. I produce bespoke hand embroidered artwork, watercolors and printed textiles. I also sell embroidered artwork, prints and watercolors through a shop on Etsy and take part in Art and Craft Fairs.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2021, I hosted my first Textile Design workshop in a high school with a group of GCSE students. I offer half or full day workshops that can be adapted to the school curriculum that focus on art practices in order to develop printed textiles.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 History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Birmingham Institute of Jewellery, Fashion and Textiles, Birmingham City University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2020-August 2021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 Textile and Surface Design_Distinction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Escola Massana Centro de Arte y Diseño, Barcelona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2019-June 2019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Contributed to BA Hons Fine Art_First Class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Birmingham School of Art, Birmingham City University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2017-June 2020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 Hons Fine Art_First Class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King Edward VI College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2015 to May 2017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Level - Art, Craft and Design_C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Level - English Language and Literature_C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Level - Sociology_C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Ridgewood High School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2010 to May 2015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 GCSE_A-C 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Level 2 Project Qualification_A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Exhibitions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Medicine Gallery, February 2020,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Made Public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BSoA group show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Birmingham School of Art, June 2020-present,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It Nearly Never Happened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Virtual Graduate show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Festival des Glycines, May 2021,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Festival des Glycines: #drawmewisteria2021,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Virtual show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Wolverhampton Museum and Art Gallery, September 2020-present,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Your New Normal, My Normal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Changing Our Lives virtual show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Birmingham School of Art, October 2021,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Reassemble: Process to Production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BSoA graduate group show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Wolverhampton Museum and Art Gallery, October-December 2021,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Our Creative Lockdown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lockdown exhibitions showcase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Art Gallery Walsall, May-September 2022,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West Midlands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Publications/Features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and That Zine Issue I, June 2020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Express and Star, November 2020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Common Ground: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‘Your New Normal. My Normal’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Exhibition Publication, June 2021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References available on request.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cN9LEcvmshK1pF/tzY95rkrLiQ==">CgMxLjA4AHIhMUVrVmdfMUhZYVVOamE0VGJNV0c5V3VjQU5xTHZzZkJa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2022-03-17T16:19:00Z</dcterms:created>
  <dc:creator>Lily Purslow</dc:creator>
</cp:coreProperties>
</file>